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33" w:rsidRDefault="008013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10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2425"/>
        <w:gridCol w:w="1256"/>
        <w:gridCol w:w="707"/>
        <w:gridCol w:w="1037"/>
        <w:gridCol w:w="947"/>
        <w:gridCol w:w="852"/>
        <w:gridCol w:w="2082"/>
        <w:gridCol w:w="835"/>
      </w:tblGrid>
      <w:tr w:rsidR="00801333">
        <w:trPr>
          <w:trHeight w:val="1157"/>
        </w:trPr>
        <w:tc>
          <w:tcPr>
            <w:tcW w:w="1093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>
                  <wp:extent cx="1456182" cy="617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82" cy="617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EXPENSES CLAIM FORM</w:t>
            </w:r>
          </w:p>
        </w:tc>
      </w:tr>
      <w:tr w:rsidR="00801333">
        <w:trPr>
          <w:trHeight w:val="568"/>
        </w:trPr>
        <w:tc>
          <w:tcPr>
            <w:tcW w:w="3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Name………………………………………………… </w:t>
            </w:r>
          </w:p>
        </w:tc>
        <w:tc>
          <w:tcPr>
            <w:tcW w:w="47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Department/Budget……………………………………………… </w:t>
            </w:r>
          </w:p>
        </w:tc>
        <w:tc>
          <w:tcPr>
            <w:tcW w:w="29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Claim for Month Ending………………..</w:t>
            </w:r>
          </w:p>
        </w:tc>
      </w:tr>
      <w:tr w:rsidR="00801333">
        <w:trPr>
          <w:trHeight w:val="59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Date </w:t>
            </w: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452" w:right="43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Brief Description and REASON for Expense Incurred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Miles 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Mileage </w:t>
            </w:r>
          </w:p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Claim (£)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Rail/Coach </w:t>
            </w:r>
          </w:p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/Tube (£)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Other  </w:t>
            </w:r>
          </w:p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Costs (£)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Nominal Code </w:t>
            </w:r>
          </w:p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(to be completed by Finance)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 (£)</w:t>
            </w: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1333">
        <w:trPr>
          <w:cantSplit/>
          <w:trHeight w:val="315"/>
        </w:trPr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Total Claimed: 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B7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Amount Payable: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333" w:rsidRDefault="00801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01333" w:rsidRDefault="008013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1333" w:rsidRDefault="008013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Name of Claimant: ……………………………………………………………….. Signature of Claimant: …………………………………………………….. Date………………………………………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16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Name of Line Manager: ………………………………………………………… Signature of Line Manager: ……………………………………………… Date……………………………………..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5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All expense claims will be paid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by BACS. Please provide your details below.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6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Bank Account Details: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1" w:lineRule="auto"/>
        <w:ind w:left="151" w:right="1017" w:firstLine="5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Sort Code: …………………………………………………………………………… Account Number………………………………………………………Name: ………………………………………….  (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as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it appears on the account)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1" w:lineRule="auto"/>
        <w:ind w:left="618" w:right="558" w:firstLine="9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Please tick the box to indicate that you have read and understood the following: Employees using their own vehicle for work related travel </w:t>
      </w:r>
      <w:proofErr w:type="gramStart"/>
      <w:r>
        <w:rPr>
          <w:rFonts w:ascii="Calibri" w:eastAsia="Calibri" w:hAnsi="Calibri" w:cs="Calibri"/>
          <w:b/>
          <w:color w:val="000000"/>
          <w:sz w:val="16"/>
          <w:szCs w:val="16"/>
        </w:rPr>
        <w:t>must  ensure</w:t>
      </w:r>
      <w:proofErr w:type="gram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that the vehicle is roadworthy, the vehicle has a valid MOT certificate and is insured with appropriate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business related cover. The trust </w:t>
      </w:r>
      <w:proofErr w:type="gramStart"/>
      <w:r>
        <w:rPr>
          <w:rFonts w:ascii="Calibri" w:eastAsia="Calibri" w:hAnsi="Calibri" w:cs="Calibri"/>
          <w:b/>
          <w:color w:val="000000"/>
          <w:sz w:val="16"/>
          <w:szCs w:val="16"/>
        </w:rPr>
        <w:t>has  the</w:t>
      </w:r>
      <w:proofErr w:type="gram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right to do spot checks to ensure staff hold the correct MOT, insurance and driving licenses. These costs are the responsibility of the employee.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25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NOTES FOR COMPLETION OF THE EXPENSES CLAIM FORM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80" w:lineRule="auto"/>
        <w:ind w:left="252" w:right="524" w:firstLine="1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1) It should be noted that the expenses are paid from Public Funds and hence it is the responsibility of the individual to ensure that the costs are kept to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a  minimum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. Expenses should not be incurred unless they have been approved previously.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77" w:lineRule="auto"/>
        <w:ind w:left="247" w:right="423" w:firstLine="1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2) Claims s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hould be submitted monthly for expenditure necessarily incurred in carrying out duties in connection with requirements of the Academy.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Where  expenses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are incurred for professional development purposes, this should be indicated accordingly.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24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3) Receipts mu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st be submitted with the claim except for car mileage claims.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4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4) All claims must be counter-signed by the Line Manager/Budget Owner or Line Manager’s Superior.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47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5) Claims are normally reimbursed within two weeks. If there is a delay or a query, please contact the Finance Department. 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4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6) Mileage reimbursement rates remain unchanged and are in line with North Yorkshire County Council.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77" w:lineRule="auto"/>
        <w:ind w:left="242" w:right="1543" w:firstLine="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7) When travelling to/from the destination to your home, in order to comply with HMRC rules, only the lower cost of home/destination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or  Academy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/destination may be claimed.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9" w:lineRule="auto"/>
        <w:ind w:left="241" w:right="269" w:firstLine="5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8) Staff are expected to use the most cost efficient mode of travel. In certain ca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ses train or Underground travel will be more cost efficient than driving by car.  Taxis should only be used when public transport is not accessible or there is a health &amp; safety issue. Any bookings for rail travel should be made at least 4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weeks  before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de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parture in order to obtain the benefit of cheaper rates. For overnight accommodation, most economical hotel rates should be booked. Cost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of  overnight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accommodation should be agreed with Director of Finance and Resources.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80" w:lineRule="auto"/>
        <w:ind w:left="242" w:right="395" w:firstLine="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9) Receipts must be submitted wit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h all non-mileage claims. Value for money should always be considered. Please refer to the MAT expense policy for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items  that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will not be accepted.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25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10) This form will be retained in line with the Data Retention policy and compliant with GDPR rules and regulations. </w:t>
      </w:r>
    </w:p>
    <w:p w:rsidR="00801333" w:rsidRDefault="008B7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07/06/19 Version 2 </w:t>
      </w:r>
    </w:p>
    <w:sectPr w:rsidR="00801333">
      <w:pgSz w:w="11900" w:h="16820"/>
      <w:pgMar w:top="480" w:right="487" w:bottom="571" w:left="4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3"/>
    <w:rsid w:val="00801333"/>
    <w:rsid w:val="008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3C638-BCD8-499E-8A26-72E74EF8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Earl</dc:creator>
  <cp:lastModifiedBy>Claire Earl</cp:lastModifiedBy>
  <cp:revision>2</cp:revision>
  <dcterms:created xsi:type="dcterms:W3CDTF">2022-10-12T15:19:00Z</dcterms:created>
  <dcterms:modified xsi:type="dcterms:W3CDTF">2022-10-12T15:19:00Z</dcterms:modified>
</cp:coreProperties>
</file>